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Experiencias de vida predictas (sin incluir procedimientos experimentales, los cuales están contemplados en la Hoja 2)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2835"/>
        <w:tblGridChange w:id="0">
          <w:tblGrid>
            <w:gridCol w:w="2518"/>
            <w:gridCol w:w="2835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Número de licencia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Número de protocolo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48.0" w:type="dxa"/>
        <w:jc w:val="left"/>
        <w:tblBorders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3492"/>
        <w:gridCol w:w="3487"/>
        <w:gridCol w:w="3482"/>
        <w:gridCol w:w="3487"/>
        <w:tblGridChange w:id="0">
          <w:tblGrid>
            <w:gridCol w:w="3492"/>
            <w:gridCol w:w="3487"/>
            <w:gridCol w:w="3482"/>
            <w:gridCol w:w="348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1a0266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Factor</w:t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1a0266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Experiencia del animal</w:t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1a0266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Problemas de bienestar animal</w:t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000000" w:space="0" w:sz="0" w:val="nil"/>
            </w:tcBorders>
            <w:shd w:fill="1a0266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Formas de mitigarlo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Obtención de animales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/>
            </w:pPr>
            <w:bookmarkStart w:colFirst="0" w:colLast="0" w:name="_un1z9lajske3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Transporte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Marcas de identificación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Biopsias para genotipificación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bookmarkStart w:colFirst="0" w:colLast="0" w:name="_44mae1v60ue8" w:id="1"/>
            <w:bookmarkEnd w:id="1"/>
            <w:r w:rsidDel="00000000" w:rsidR="00000000" w:rsidRPr="00000000">
              <w:rPr>
                <w:rtl w:val="0"/>
              </w:rPr>
              <w:t xml:space="preserve">Alojamiento y ambiente</w:t>
            </w:r>
          </w:p>
        </w:tc>
        <w:tc>
          <w:tcPr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Cuidado y zootecnia</w:t>
            </w:r>
          </w:p>
        </w:tc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Sujeción, manejo e inmovilización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Eutanasia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  <w:t xml:space="preserve">Nota: Esta hoja debe ser editada y enfocada tanto a la especie utilizada, como a los distintos factores que pudieran aplicar bajo diferentes circunstancias. Algunos factores deberán ser agregados, editados o borrados. </w:t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513"/>
        <w:tab w:val="right" w:leader="none" w:pos="9026"/>
      </w:tabs>
      <w:spacing w:line="240" w:lineRule="auto"/>
      <w:jc w:val="right"/>
      <w:rPr/>
    </w:pPr>
    <w:r w:rsidDel="00000000" w:rsidR="00000000" w:rsidRPr="00000000">
      <w:rPr>
        <w:rtl w:val="0"/>
      </w:rPr>
      <w:t xml:space="preserve">RSPCA Hoja de ruta - Hoja 1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-276224</wp:posOffset>
          </wp:positionV>
          <wp:extent cx="1935984" cy="613156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5984" cy="61315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